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F6" w:rsidRDefault="00FD6BF6" w:rsidP="00FD6BF6">
      <w:pPr>
        <w:jc w:val="right"/>
        <w:rPr>
          <w:noProof/>
          <w:sz w:val="24"/>
          <w:szCs w:val="24"/>
        </w:rPr>
      </w:pPr>
    </w:p>
    <w:p w:rsidR="00FD6BF6" w:rsidRDefault="00D22535" w:rsidP="00FD6BF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 2</w:t>
      </w:r>
    </w:p>
    <w:p w:rsidR="00FD6BF6" w:rsidRDefault="00FD6BF6" w:rsidP="00FD6BF6">
      <w:pPr>
        <w:jc w:val="center"/>
        <w:rPr>
          <w:noProof/>
        </w:rPr>
      </w:pPr>
      <w:r>
        <w:rPr>
          <w:noProof/>
        </w:rPr>
        <w:t>УФНС России по Краснодарскому краю</w:t>
      </w:r>
    </w:p>
    <w:p w:rsidR="00A9731F" w:rsidRDefault="00A9731F" w:rsidP="00FD6BF6">
      <w:pPr>
        <w:jc w:val="center"/>
        <w:rPr>
          <w:noProof/>
        </w:rPr>
      </w:pPr>
    </w:p>
    <w:p w:rsidR="0043044E" w:rsidRDefault="00151DB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3044E" w:rsidRDefault="00151DB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3044E" w:rsidRDefault="00151DB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31.03.2023</w:t>
      </w:r>
    </w:p>
    <w:p w:rsidR="0043044E" w:rsidRDefault="0043044E">
      <w:pPr>
        <w:jc w:val="center"/>
        <w:rPr>
          <w:noProof/>
          <w:sz w:val="18"/>
          <w:lang w:val="en-US"/>
        </w:rPr>
      </w:pPr>
    </w:p>
    <w:tbl>
      <w:tblPr>
        <w:tblW w:w="1063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60"/>
        <w:gridCol w:w="1560"/>
      </w:tblGrid>
      <w:tr w:rsidR="00A9731F" w:rsidTr="00A9731F">
        <w:trPr>
          <w:cantSplit/>
          <w:trHeight w:val="677"/>
        </w:trPr>
        <w:tc>
          <w:tcPr>
            <w:tcW w:w="7513" w:type="dxa"/>
          </w:tcPr>
          <w:p w:rsidR="00A9731F" w:rsidRDefault="00A9731F">
            <w:pPr>
              <w:jc w:val="center"/>
              <w:rPr>
                <w:noProof/>
                <w:sz w:val="18"/>
                <w:lang w:val="en-US"/>
              </w:rPr>
            </w:pPr>
          </w:p>
          <w:p w:rsidR="00A9731F" w:rsidRDefault="00A9731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A9731F" w:rsidRDefault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60" w:type="dxa"/>
          </w:tcPr>
          <w:p w:rsidR="00A9731F" w:rsidRDefault="0081001F">
            <w:pPr>
              <w:jc w:val="center"/>
              <w:rPr>
                <w:noProof/>
                <w:sz w:val="18"/>
              </w:rPr>
            </w:pPr>
            <w:r w:rsidRPr="00B01F33">
              <w:rPr>
                <w:i/>
                <w:noProof/>
                <w:sz w:val="18"/>
              </w:rPr>
              <w:t>В процентах к общему количеству обращений</w:t>
            </w:r>
          </w:p>
        </w:tc>
      </w:tr>
      <w:tr w:rsidR="00A9731F" w:rsidTr="00A9731F">
        <w:trPr>
          <w:cantSplit/>
        </w:trPr>
        <w:tc>
          <w:tcPr>
            <w:tcW w:w="7513" w:type="dxa"/>
          </w:tcPr>
          <w:p w:rsidR="00A9731F" w:rsidRPr="00A9731F" w:rsidRDefault="00A9731F">
            <w:pPr>
              <w:jc w:val="center"/>
              <w:rPr>
                <w:b/>
                <w:i/>
                <w:noProof/>
                <w:sz w:val="18"/>
              </w:rPr>
            </w:pPr>
            <w:r w:rsidRPr="00A9731F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A9731F" w:rsidRPr="00A9731F" w:rsidRDefault="00A9731F">
            <w:pPr>
              <w:jc w:val="center"/>
              <w:rPr>
                <w:b/>
                <w:i/>
                <w:noProof/>
                <w:sz w:val="18"/>
              </w:rPr>
            </w:pPr>
            <w:r w:rsidRPr="00A9731F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A9731F" w:rsidRPr="00A9731F" w:rsidRDefault="00A9731F">
            <w:pPr>
              <w:jc w:val="center"/>
              <w:rPr>
                <w:b/>
                <w:i/>
                <w:noProof/>
                <w:sz w:val="18"/>
              </w:rPr>
            </w:pPr>
            <w:r w:rsidRPr="00A9731F">
              <w:rPr>
                <w:b/>
                <w:i/>
                <w:noProof/>
                <w:sz w:val="18"/>
              </w:rPr>
              <w:t>3</w:t>
            </w:r>
          </w:p>
        </w:tc>
      </w:tr>
      <w:tr w:rsidR="00A9731F" w:rsidTr="00A9731F">
        <w:trPr>
          <w:cantSplit/>
        </w:trPr>
        <w:tc>
          <w:tcPr>
            <w:tcW w:w="7513" w:type="dxa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560" w:type="dxa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A9731F">
        <w:trPr>
          <w:cantSplit/>
        </w:trPr>
        <w:tc>
          <w:tcPr>
            <w:tcW w:w="7513" w:type="dxa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bookmarkStart w:id="0" w:name="_GoBack"/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2,9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7E54F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8C4F5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3C78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840E2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4359E6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417A9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159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6,2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D0688C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178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7,0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105468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88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D72F0B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274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F2614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10,6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82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3,2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FD6C8D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E0372C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F2614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14,0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132157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967DF3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5F6BB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5F6BB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1E2908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5F6BB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6875F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267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5F6BB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A713A5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5F6BB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A9731F" w:rsidTr="007A0FF6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9731F" w:rsidRDefault="005F6BB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C05EBB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0B276A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105468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0B276A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A9731F" w:rsidTr="007A0FF6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8C4F5E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482</w:t>
            </w:r>
          </w:p>
        </w:tc>
        <w:tc>
          <w:tcPr>
            <w:tcW w:w="1560" w:type="dxa"/>
            <w:shd w:val="clear" w:color="auto" w:fill="FFFFFF" w:themeFill="background1"/>
          </w:tcPr>
          <w:p w:rsidR="00A9731F" w:rsidRDefault="00FF2614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18,7</w:t>
            </w:r>
          </w:p>
        </w:tc>
      </w:tr>
      <w:bookmarkEnd w:id="0"/>
      <w:tr w:rsidR="00A9731F" w:rsidTr="00A9731F">
        <w:trPr>
          <w:cantSplit/>
        </w:trPr>
        <w:tc>
          <w:tcPr>
            <w:tcW w:w="7513" w:type="dxa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A9731F" w:rsidRDefault="00EE105A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Tr="00A9731F">
        <w:trPr>
          <w:cantSplit/>
        </w:trPr>
        <w:tc>
          <w:tcPr>
            <w:tcW w:w="7513" w:type="dxa"/>
          </w:tcPr>
          <w:p w:rsidR="00A9731F" w:rsidRDefault="00A9731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1560" w:type="dxa"/>
          </w:tcPr>
          <w:p w:rsidR="00A9731F" w:rsidRDefault="00A9731F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A9731F" w:rsidRDefault="00EE105A" w:rsidP="00A973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9731F" w:rsidRPr="00C73A4D" w:rsidTr="00A9731F">
        <w:trPr>
          <w:cantSplit/>
        </w:trPr>
        <w:tc>
          <w:tcPr>
            <w:tcW w:w="7513" w:type="dxa"/>
          </w:tcPr>
          <w:p w:rsidR="00A9731F" w:rsidRPr="00C73A4D" w:rsidRDefault="00A9731F" w:rsidP="00C73A4D">
            <w:pPr>
              <w:jc w:val="right"/>
              <w:rPr>
                <w:b/>
                <w:noProof/>
                <w:sz w:val="18"/>
              </w:rPr>
            </w:pPr>
            <w:r w:rsidRPr="00C73A4D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60" w:type="dxa"/>
          </w:tcPr>
          <w:p w:rsidR="00A9731F" w:rsidRPr="00C73A4D" w:rsidRDefault="0033299B" w:rsidP="00A9731F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2561</w:t>
            </w:r>
          </w:p>
        </w:tc>
        <w:tc>
          <w:tcPr>
            <w:tcW w:w="1560" w:type="dxa"/>
          </w:tcPr>
          <w:p w:rsidR="00A9731F" w:rsidRPr="00C73A4D" w:rsidRDefault="00C73A4D" w:rsidP="00A9731F">
            <w:pPr>
              <w:jc w:val="center"/>
              <w:rPr>
                <w:b/>
                <w:noProof/>
                <w:sz w:val="18"/>
              </w:rPr>
            </w:pPr>
            <w:r w:rsidRPr="00C73A4D">
              <w:rPr>
                <w:b/>
                <w:noProof/>
                <w:sz w:val="18"/>
              </w:rPr>
              <w:t>100</w:t>
            </w:r>
          </w:p>
        </w:tc>
      </w:tr>
    </w:tbl>
    <w:p w:rsidR="0043044E" w:rsidRDefault="0043044E">
      <w:pPr>
        <w:rPr>
          <w:noProof/>
        </w:rPr>
      </w:pPr>
    </w:p>
    <w:p w:rsidR="0043044E" w:rsidRDefault="0043044E">
      <w:pPr>
        <w:rPr>
          <w:noProof/>
        </w:rPr>
      </w:pPr>
    </w:p>
    <w:p w:rsidR="00151DB1" w:rsidRDefault="00151DB1">
      <w:pPr>
        <w:rPr>
          <w:noProof/>
        </w:rPr>
      </w:pPr>
    </w:p>
    <w:sectPr w:rsidR="00151DB1" w:rsidSect="00FD6BF6">
      <w:pgSz w:w="11907" w:h="16840" w:code="9"/>
      <w:pgMar w:top="255" w:right="1168" w:bottom="25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B1"/>
    <w:rsid w:val="00005BAC"/>
    <w:rsid w:val="00012165"/>
    <w:rsid w:val="00050F16"/>
    <w:rsid w:val="000B276A"/>
    <w:rsid w:val="000C4170"/>
    <w:rsid w:val="00105468"/>
    <w:rsid w:val="00132157"/>
    <w:rsid w:val="00151DB1"/>
    <w:rsid w:val="001E2908"/>
    <w:rsid w:val="001E3E37"/>
    <w:rsid w:val="001F42C4"/>
    <w:rsid w:val="00222A20"/>
    <w:rsid w:val="0033299B"/>
    <w:rsid w:val="003B04E0"/>
    <w:rsid w:val="003C781F"/>
    <w:rsid w:val="00406D75"/>
    <w:rsid w:val="00417A95"/>
    <w:rsid w:val="0043044E"/>
    <w:rsid w:val="004359E6"/>
    <w:rsid w:val="00475BF1"/>
    <w:rsid w:val="00483A49"/>
    <w:rsid w:val="00483E04"/>
    <w:rsid w:val="00490503"/>
    <w:rsid w:val="0049551B"/>
    <w:rsid w:val="00513D59"/>
    <w:rsid w:val="00584490"/>
    <w:rsid w:val="005F6BBE"/>
    <w:rsid w:val="00675761"/>
    <w:rsid w:val="00683A38"/>
    <w:rsid w:val="006875FF"/>
    <w:rsid w:val="00697722"/>
    <w:rsid w:val="00753F86"/>
    <w:rsid w:val="007A0FF6"/>
    <w:rsid w:val="007D6AC8"/>
    <w:rsid w:val="007E54F5"/>
    <w:rsid w:val="00805411"/>
    <w:rsid w:val="0081001F"/>
    <w:rsid w:val="008C0989"/>
    <w:rsid w:val="008C4F5E"/>
    <w:rsid w:val="008D298A"/>
    <w:rsid w:val="00967DF3"/>
    <w:rsid w:val="00982015"/>
    <w:rsid w:val="009F5607"/>
    <w:rsid w:val="00A31ED1"/>
    <w:rsid w:val="00A713A5"/>
    <w:rsid w:val="00A9127B"/>
    <w:rsid w:val="00A9731F"/>
    <w:rsid w:val="00AC3612"/>
    <w:rsid w:val="00AD7293"/>
    <w:rsid w:val="00B446D9"/>
    <w:rsid w:val="00C05EBB"/>
    <w:rsid w:val="00C062F9"/>
    <w:rsid w:val="00C73A4D"/>
    <w:rsid w:val="00CC7113"/>
    <w:rsid w:val="00D0688C"/>
    <w:rsid w:val="00D22535"/>
    <w:rsid w:val="00D50D2C"/>
    <w:rsid w:val="00D72F0B"/>
    <w:rsid w:val="00D840E2"/>
    <w:rsid w:val="00DF3F81"/>
    <w:rsid w:val="00E0372C"/>
    <w:rsid w:val="00E42ED0"/>
    <w:rsid w:val="00E709C0"/>
    <w:rsid w:val="00E71C35"/>
    <w:rsid w:val="00EE105A"/>
    <w:rsid w:val="00FD6BF6"/>
    <w:rsid w:val="00FD6C8D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387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141</cp:revision>
  <cp:lastPrinted>2023-04-11T14:32:00Z</cp:lastPrinted>
  <dcterms:created xsi:type="dcterms:W3CDTF">2023-04-11T08:05:00Z</dcterms:created>
  <dcterms:modified xsi:type="dcterms:W3CDTF">2023-04-26T11:42:00Z</dcterms:modified>
</cp:coreProperties>
</file>